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99"/>
        <w:tblW w:w="10303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88"/>
        <w:gridCol w:w="3030"/>
        <w:gridCol w:w="2100"/>
      </w:tblGrid>
      <w:tr w:rsidR="006A3C30" w:rsidRPr="00706537" w14:paraId="594194A7" w14:textId="77777777" w:rsidTr="008A38B4">
        <w:tc>
          <w:tcPr>
            <w:tcW w:w="10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8F1C68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>GP MANAGEMENT PLAN. 721 (Iron Deficiency Anaemia / Pernicious Anaemia)</w:t>
            </w:r>
          </w:p>
        </w:tc>
      </w:tr>
      <w:tr w:rsidR="006A3C30" w:rsidRPr="00706537" w14:paraId="054D885F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076" w14:textId="1C7B1311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bookmarkStart w:id="0" w:name="_Hlk163370315"/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Patient problems / needs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7E3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Goals - changes to be achieved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AD9" w14:textId="389725FA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Required treatments and services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731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Arrangements for treatments/services </w:t>
            </w:r>
          </w:p>
        </w:tc>
      </w:tr>
      <w:tr w:rsidR="006A3C30" w:rsidRPr="00706537" w14:paraId="5622B32A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8A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1. General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9DF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F3E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88E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</w:tr>
      <w:tr w:rsidR="006A3C30" w:rsidRPr="00706537" w14:paraId="6974BA9D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B89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Patient's understanding of their condition: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21E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Patient to have a clear understanding of their condition and patient's role in management.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6FA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Patient education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9D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GP / Nurse </w:t>
            </w:r>
          </w:p>
          <w:p w14:paraId="2F83AC4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Specialist</w:t>
            </w:r>
          </w:p>
        </w:tc>
      </w:tr>
      <w:tr w:rsidR="006A3C30" w:rsidRPr="00706537" w14:paraId="3820C4A2" w14:textId="77777777" w:rsidTr="008A38B4">
        <w:tc>
          <w:tcPr>
            <w:tcW w:w="10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A49" w14:textId="5ADDCAF5" w:rsidR="006A3C30" w:rsidRPr="00706537" w:rsidRDefault="006A3C30" w:rsidP="008A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06537">
              <w:rPr>
                <w:rFonts w:ascii="Arial" w:hAnsi="Arial" w:cs="Arial"/>
                <w:sz w:val="20"/>
                <w:szCs w:val="20"/>
              </w:rPr>
              <w:instrText>HYPERLINK "https://www.healthline.com/symptom/anemia"</w:instrText>
            </w:r>
            <w:r w:rsidRPr="00706537">
              <w:rPr>
                <w:rFonts w:ascii="Arial" w:hAnsi="Arial" w:cs="Arial"/>
                <w:sz w:val="20"/>
                <w:szCs w:val="20"/>
              </w:rPr>
            </w:r>
            <w:r w:rsidRPr="007065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6537">
              <w:rPr>
                <w:rFonts w:ascii="Arial" w:hAnsi="Arial" w:cs="Arial"/>
                <w:sz w:val="20"/>
                <w:szCs w:val="20"/>
              </w:rPr>
              <w:t xml:space="preserve">Iron deficiency anaemia is a common type of anaemia </w:t>
            </w:r>
            <w:r w:rsidRPr="00706537">
              <w:rPr>
                <w:rFonts w:ascii="Arial" w:eastAsia="Times New Roman" w:hAnsi="Arial" w:cs="Arial"/>
                <w:sz w:val="20"/>
                <w:szCs w:val="20"/>
              </w:rPr>
              <w:t>— a condition in which blood lacks adequate healthy red blood cells. Red blood cells carry oxygen to the body's tissues.</w:t>
            </w:r>
          </w:p>
          <w:p w14:paraId="23854906" w14:textId="77777777" w:rsidR="006A3C30" w:rsidRPr="00706537" w:rsidRDefault="006A3C30" w:rsidP="008A38B4">
            <w:pPr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eastAsia="Times New Roman" w:hAnsi="Arial" w:cs="Arial"/>
                <w:sz w:val="20"/>
                <w:szCs w:val="20"/>
              </w:rPr>
              <w:t>As the name implies, iron deficiency anaemia is due to insufficient iron. Without enough iron, your body can't produce enough of a substance in red blood cells that enables them to carry oxygen (haemoglobin). As a result, iron deficiency anaemia may leave you tired and short of breath.</w:t>
            </w:r>
            <w:r w:rsidRPr="007065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4F313D" w14:textId="77777777" w:rsidR="006A3C30" w:rsidRPr="00706537" w:rsidRDefault="006A3C30" w:rsidP="008A38B4">
            <w:pPr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Pernicious anaemia is one of the vitamin B-12 deficiency anaemias. It’s caused by an inability to absorb the vitamin B-12 needed for your body to make enough healthy red blood cells.</w:t>
            </w:r>
          </w:p>
        </w:tc>
      </w:tr>
      <w:tr w:rsidR="006A3C30" w:rsidRPr="00706537" w14:paraId="2A5DBA25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3BA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Iron Deficiency  Anaemia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72A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complications associated with Iron Deficiency Anaemia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15D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Reviews with GP </w:t>
            </w:r>
            <w:r w:rsidRPr="00706537">
              <w:rPr>
                <w:rFonts w:ascii="Arial" w:hAnsi="Arial" w:cs="Arial"/>
                <w:sz w:val="20"/>
                <w:szCs w:val="20"/>
              </w:rPr>
              <w:t>and nurse every 3 months for monitoring, management and health interventions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8768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58DA8CD4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Nurse</w:t>
            </w:r>
          </w:p>
          <w:p w14:paraId="53597802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Specialist</w:t>
            </w:r>
          </w:p>
        </w:tc>
      </w:tr>
      <w:tr w:rsidR="006A3C30" w:rsidRPr="00706537" w14:paraId="79C52C22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9F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Pernicious Anaemia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22C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Prevent complications associated with Pernicious Anaemia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079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Reviews with GP </w:t>
            </w: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and nurse every 3 months for monitoring, management and health interventions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74F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GP</w:t>
            </w:r>
          </w:p>
          <w:p w14:paraId="161471C5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Nurse</w:t>
            </w:r>
          </w:p>
          <w:p w14:paraId="295D424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Patient</w:t>
            </w:r>
          </w:p>
        </w:tc>
      </w:tr>
      <w:tr w:rsidR="006A3C30" w:rsidRPr="00706537" w14:paraId="1FCD97E0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BF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>2. Symptom Management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7C1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A19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9C1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</w:p>
        </w:tc>
      </w:tr>
      <w:tr w:rsidR="006A3C30" w:rsidRPr="00706537" w14:paraId="4827E43F" w14:textId="77777777" w:rsidTr="008A38B4">
        <w:tc>
          <w:tcPr>
            <w:tcW w:w="10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265" w14:textId="77777777" w:rsidR="006A3C30" w:rsidRPr="00706537" w:rsidRDefault="006A3C30" w:rsidP="008A38B4">
            <w:pPr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The progression of pernicious anaemia is slow. It may be difficult to recognize the symptoms because you may have become used to not feeling well. Commonly overlooked symptoms include:</w:t>
            </w:r>
          </w:p>
        </w:tc>
      </w:tr>
      <w:tr w:rsidR="006A3C30" w:rsidRPr="00706537" w14:paraId="7BEC8948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0A2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63369321"/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Weakness </w:t>
            </w:r>
          </w:p>
          <w:p w14:paraId="7A929854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(IDA/Pernicious)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AC8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weakness and muscle atrophy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5B2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Monitor energy levels and perform regular physical exercises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BBE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54E975D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1B5A8D54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Exercise Physiologist</w:t>
            </w:r>
          </w:p>
        </w:tc>
      </w:tr>
      <w:tr w:rsidR="006A3C30" w:rsidRPr="00706537" w14:paraId="308EADB2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115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Headaches </w:t>
            </w:r>
          </w:p>
          <w:p w14:paraId="1FD9AB45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(IDA/Pernicious)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B55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regular headaches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0D8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Ensure adequate fluid intake and take analgesic as needed and prescribed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6C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5663CEA2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4DFAFB7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Pharmacist</w:t>
            </w:r>
          </w:p>
        </w:tc>
      </w:tr>
      <w:tr w:rsidR="006A3C30" w:rsidRPr="00706537" w14:paraId="02C7B4CE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3D9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Chest pain </w:t>
            </w:r>
          </w:p>
          <w:p w14:paraId="5FC56208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(IDA/Pernicious)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3D2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chest pain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CE2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Consult with GP if chest pain occurs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96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27124401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</w:tc>
      </w:tr>
      <w:tr w:rsidR="006A3C30" w:rsidRPr="00706537" w14:paraId="2A2B6E16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F8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>Weight loss</w:t>
            </w:r>
          </w:p>
          <w:p w14:paraId="5DAABCD4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(IDA/Pernicious)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93D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weight loss and associated complications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C66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Monitor weight weekly, consult with GP if unintentional weight loss occurs and continues more than 5kgs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CF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0FF1D0A1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4ADD62FD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Dietician</w:t>
            </w:r>
          </w:p>
        </w:tc>
      </w:tr>
      <w:tr w:rsidR="006A3C30" w:rsidRPr="00706537" w14:paraId="3CC65F65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43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Confusion </w:t>
            </w:r>
          </w:p>
          <w:p w14:paraId="104E14C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(IDA/Pernicious)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5C8E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confusion and accident related injuries or disturbances to quality of life and daily activities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EE4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Consult with GP if any concerns with cognition, confusion or memory concerns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95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0AA6D1A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</w:tc>
      </w:tr>
      <w:tr w:rsidR="006A3C30" w:rsidRPr="00706537" w14:paraId="06906B8F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A1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Depression </w:t>
            </w:r>
          </w:p>
          <w:p w14:paraId="25613B11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(IDA/Pernicious)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9EE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depression and mental health complications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F44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Maintain social activities where possible and keep life routines as regular as possible to prevent risks of unhappiness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933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457926A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53CD505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Psychologist</w:t>
            </w:r>
          </w:p>
        </w:tc>
      </w:tr>
      <w:tr w:rsidR="006A3C30" w:rsidRPr="00706537" w14:paraId="52CC5F69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EC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Nausea and vomiting</w:t>
            </w:r>
          </w:p>
          <w:p w14:paraId="228CEA1E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(pernicious)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1DD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or manage nausea and/or vomiting decreasing quality of life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145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Avoid trigger foods</w:t>
            </w:r>
          </w:p>
          <w:p w14:paraId="69390091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Attend regular dental review</w:t>
            </w:r>
          </w:p>
          <w:p w14:paraId="4AD7A5F9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Take antinausea medication as prescribed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F7E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024FFD0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51AB416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Dietician</w:t>
            </w:r>
          </w:p>
          <w:p w14:paraId="31F9AF71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Pharmacist </w:t>
            </w:r>
          </w:p>
        </w:tc>
      </w:tr>
      <w:tr w:rsidR="006A3C30" w:rsidRPr="00706537" w14:paraId="13D50D68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56D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Constipation </w:t>
            </w:r>
          </w:p>
          <w:p w14:paraId="7A2977BF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(pernicious)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096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Prevent or reduce constipation contributing to bloating and pain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A41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Avoid trigger foods, increase fibre and fluid intake</w:t>
            </w:r>
          </w:p>
          <w:p w14:paraId="3BC99F8F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Take aperients/laxatives as prescribed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2D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7641E27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5898CA7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Dietician</w:t>
            </w:r>
          </w:p>
          <w:p w14:paraId="789C00B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Pharmacist </w:t>
            </w:r>
          </w:p>
        </w:tc>
      </w:tr>
      <w:tr w:rsidR="006A3C30" w:rsidRPr="00706537" w14:paraId="4F5BC0B6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1D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Loss of appetite</w:t>
            </w:r>
          </w:p>
          <w:p w14:paraId="396954C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(pernicious)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61B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nutrition deficiencies and constipation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0CF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Monitor nutrition and fluid intake, bowel function and weight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51E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6E41810D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6200AF8E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Dietician</w:t>
            </w:r>
          </w:p>
        </w:tc>
      </w:tr>
      <w:tr w:rsidR="006A3C30" w:rsidRPr="00706537" w14:paraId="66870A75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F61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Heartburn </w:t>
            </w:r>
          </w:p>
          <w:p w14:paraId="3C78858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(pernicious)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AFB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Prevent or manage heartburn contributing to reflux or vomiting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F34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Avoid trigger foods</w:t>
            </w:r>
          </w:p>
          <w:p w14:paraId="5E5AE6A5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Take anti-reflux medication as </w:t>
            </w:r>
            <w:r w:rsidRPr="00706537">
              <w:rPr>
                <w:rFonts w:ascii="Arial" w:hAnsi="Arial" w:cs="Arial"/>
                <w:sz w:val="20"/>
                <w:szCs w:val="20"/>
              </w:rPr>
              <w:lastRenderedPageBreak/>
              <w:t>prescribed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01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lastRenderedPageBreak/>
              <w:t>GP</w:t>
            </w:r>
          </w:p>
          <w:p w14:paraId="58F4CEA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Patient</w:t>
            </w:r>
          </w:p>
          <w:p w14:paraId="42A7BC0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lastRenderedPageBreak/>
              <w:t>Dietician</w:t>
            </w:r>
          </w:p>
          <w:p w14:paraId="37E4FB3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Pharmacist </w:t>
            </w:r>
          </w:p>
        </w:tc>
      </w:tr>
      <w:bookmarkEnd w:id="1"/>
      <w:tr w:rsidR="006A3C30" w:rsidRPr="00706537" w14:paraId="43662223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064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lastRenderedPageBreak/>
              <w:t>2. Lifestyle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248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F21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69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</w:tr>
      <w:tr w:rsidR="006A3C30" w:rsidRPr="00706537" w14:paraId="246EEEA1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660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Nutrition:</w:t>
            </w:r>
          </w:p>
          <w:p w14:paraId="4EAF78D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3CBC40A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684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Maintain a healthy </w:t>
            </w:r>
            <w:r w:rsidRPr="00706537">
              <w:rPr>
                <w:rFonts w:ascii="Arial" w:hAnsi="Arial" w:cs="Arial"/>
                <w:sz w:val="20"/>
                <w:szCs w:val="20"/>
              </w:rPr>
              <w:t>diet rich in Iron/B12 including; red meat, poultry, shellfish, eggs, dairy products, fortified soy, nuts and rice milks and natural supplements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801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Patient education.</w:t>
            </w:r>
          </w:p>
          <w:p w14:paraId="758CA516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Consider Dietician involvement.</w:t>
            </w:r>
          </w:p>
          <w:p w14:paraId="2FA63E52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17B1970C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73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Patient to implement</w:t>
            </w:r>
          </w:p>
          <w:p w14:paraId="7A770465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GP to monitor </w:t>
            </w:r>
          </w:p>
          <w:p w14:paraId="42F0A175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</w:tr>
      <w:tr w:rsidR="006A3C30" w:rsidRPr="00706537" w14:paraId="6DCB3472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45A" w14:textId="77777777" w:rsidR="00706537" w:rsidRDefault="00706537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>
              <w:rPr>
                <w:rFonts w:ascii="Arial" w:hAnsi="Arial" w:cs="Arial"/>
                <w:sz w:val="20"/>
                <w:szCs w:val="20"/>
                <w:lang w:val="x-none" w:eastAsia="x-none"/>
              </w:rPr>
              <w:t>Height:</w:t>
            </w:r>
          </w:p>
          <w:p w14:paraId="4EC56A42" w14:textId="6FF13328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Weight:</w:t>
            </w:r>
          </w:p>
          <w:p w14:paraId="012C41B0" w14:textId="1949A30A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BMI: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B020" w14:textId="62970773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position w:val="6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Ideal: BMI ≤ 25 kg/m</w:t>
            </w:r>
            <w:r w:rsidRPr="00706537">
              <w:rPr>
                <w:rFonts w:ascii="Arial" w:hAnsi="Arial" w:cs="Arial"/>
                <w:position w:val="6"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7AE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Monitor</w:t>
            </w:r>
          </w:p>
          <w:p w14:paraId="5880799D" w14:textId="1236CDCD" w:rsidR="006A3C30" w:rsidRPr="00706537" w:rsidRDefault="006A3C30" w:rsidP="00706537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Review 6 monthly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9F4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Patient to monitor</w:t>
            </w:r>
          </w:p>
          <w:p w14:paraId="7DDBA162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GP to review</w:t>
            </w:r>
          </w:p>
        </w:tc>
      </w:tr>
      <w:tr w:rsidR="006A3C30" w:rsidRPr="00706537" w14:paraId="5C0B87BE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DF65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3. Biomedical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168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A12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E9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</w:tr>
      <w:tr w:rsidR="006A3C30" w:rsidRPr="00706537" w14:paraId="66D44D18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265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Blood pressure:</w:t>
            </w:r>
          </w:p>
          <w:p w14:paraId="1F28558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P: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E6F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Ideal </w:t>
            </w:r>
          </w:p>
          <w:p w14:paraId="7F479079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&lt; 130/80 mm Hg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E3A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Check every 6 months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30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GP / Nurse</w:t>
            </w:r>
          </w:p>
        </w:tc>
      </w:tr>
      <w:tr w:rsidR="006A3C30" w:rsidRPr="00706537" w14:paraId="5AD97B82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239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Date of blood tests:</w:t>
            </w:r>
          </w:p>
          <w:p w14:paraId="4E90F31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29CB637F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HB: </w:t>
            </w:r>
          </w:p>
          <w:p w14:paraId="7AB4CF4F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Iron umol/L</w:t>
            </w:r>
          </w:p>
          <w:p w14:paraId="0581F12E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Transferrin g/L</w:t>
            </w:r>
          </w:p>
          <w:p w14:paraId="650E1F57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Transferrin. S %</w:t>
            </w:r>
          </w:p>
          <w:p w14:paraId="69D53E32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Ferritin ug/L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C17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Ideal Range:</w:t>
            </w:r>
          </w:p>
          <w:p w14:paraId="41D105B9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0AD55C1B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HB: 119-160g/L</w:t>
            </w:r>
          </w:p>
          <w:p w14:paraId="363B3FBE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Iron 10-27 umol/L</w:t>
            </w:r>
          </w:p>
          <w:p w14:paraId="1A091DE3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   Transferrin 2.00-3.60 </w:t>
            </w:r>
            <w:r w:rsidRPr="00706537">
              <w:rPr>
                <w:rFonts w:ascii="Arial" w:hAnsi="Arial" w:cs="Arial"/>
                <w:sz w:val="20"/>
                <w:szCs w:val="20"/>
                <w:u w:val="words"/>
              </w:rPr>
              <w:t>g</w:t>
            </w:r>
            <w:r w:rsidRPr="00706537">
              <w:rPr>
                <w:rFonts w:ascii="Arial" w:hAnsi="Arial" w:cs="Arial"/>
                <w:sz w:val="20"/>
                <w:szCs w:val="20"/>
              </w:rPr>
              <w:t>/L</w:t>
            </w:r>
          </w:p>
          <w:p w14:paraId="6ACC5A57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   Transferrin. S 16-60%</w:t>
            </w:r>
          </w:p>
          <w:p w14:paraId="3CB2A362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 xml:space="preserve">   Ferritin 30-220 ug/L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01C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Blood tests performed 6-12 monthly or as per GP/Specialist.</w:t>
            </w:r>
          </w:p>
          <w:p w14:paraId="2F9ADCEB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6319E66E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99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GP and Practice Nurse to monitor.</w:t>
            </w:r>
          </w:p>
        </w:tc>
      </w:tr>
      <w:tr w:rsidR="006A3C30" w:rsidRPr="00706537" w14:paraId="47C1C59E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01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Date of blood tests:</w:t>
            </w:r>
          </w:p>
          <w:p w14:paraId="702FE17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77E9FE54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HB: 123g/L</w:t>
            </w:r>
          </w:p>
          <w:p w14:paraId="66CEC3D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B12: 148</w:t>
            </w:r>
          </w:p>
          <w:p w14:paraId="253BFB8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Folate: 23.8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D84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Ideal Range:</w:t>
            </w:r>
          </w:p>
          <w:p w14:paraId="279DB1C5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67B98A9C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HB: 119-160g/L</w:t>
            </w:r>
          </w:p>
          <w:p w14:paraId="54077DC7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B12: 130-855pmol/L</w:t>
            </w:r>
          </w:p>
          <w:p w14:paraId="3E7125D7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Folate: &gt;6.0nmol/L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E30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Blood tests performed 6-12 monthly or as per GP/Specialist.</w:t>
            </w:r>
          </w:p>
          <w:p w14:paraId="56EC7C30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  <w:p w14:paraId="4965127B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8BE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GP and Practice Nurse to monitor.</w:t>
            </w:r>
          </w:p>
        </w:tc>
      </w:tr>
      <w:tr w:rsidR="006A3C30" w:rsidRPr="00706537" w14:paraId="3E452E0B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B02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4. Medication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90C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BCC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42A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</w:tr>
      <w:tr w:rsidR="006A3C30" w:rsidRPr="00706537" w14:paraId="383B7020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D3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Medication review:</w:t>
            </w:r>
          </w:p>
          <w:p w14:paraId="5E479349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Oral iron supplements</w:t>
            </w:r>
          </w:p>
          <w:p w14:paraId="7AEA3E8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Iron infusions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156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Achieve adequate Ferritin stores with the use of Ferinject infusion and blood results in normal range or oral supplements as needed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704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Perform Ferinject infusion, follow up blood test in 6 weeks</w:t>
            </w:r>
          </w:p>
          <w:p w14:paraId="76A0F5D2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Ongoing oral iron supplementation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389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GP</w:t>
            </w:r>
          </w:p>
          <w:p w14:paraId="59D9D730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Nurse</w:t>
            </w:r>
          </w:p>
          <w:p w14:paraId="15214407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Pharmacist</w:t>
            </w:r>
          </w:p>
        </w:tc>
      </w:tr>
      <w:tr w:rsidR="006A3C30" w:rsidRPr="00706537" w14:paraId="43C5D4EA" w14:textId="77777777" w:rsidTr="008A38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3C36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Medication review:</w:t>
            </w:r>
          </w:p>
          <w:p w14:paraId="2397D37D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>Oral B12 supplements</w:t>
            </w:r>
          </w:p>
          <w:p w14:paraId="12991D28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B12 injections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A98" w14:textId="77777777" w:rsidR="006A3C30" w:rsidRPr="00706537" w:rsidRDefault="006A3C30" w:rsidP="008A38B4">
            <w:pPr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Use of B12 injections to achieve normal range, oral supplements as needed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281" w14:textId="77777777" w:rsidR="006A3C30" w:rsidRPr="00706537" w:rsidRDefault="006A3C30" w:rsidP="008A38B4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B12 injections as scheduled by GP</w:t>
            </w:r>
          </w:p>
          <w:p w14:paraId="5FEF1CD0" w14:textId="44306D0C" w:rsidR="006A3C30" w:rsidRPr="00706537" w:rsidRDefault="006A3C30" w:rsidP="00706537">
            <w:pPr>
              <w:tabs>
                <w:tab w:val="left" w:pos="113"/>
                <w:tab w:val="left" w:pos="3033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</w:rPr>
              <w:t>Ongoing oral B12 supplementation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18B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val="x-none" w:eastAsia="x-none"/>
              </w:rPr>
              <w:t xml:space="preserve">GP </w:t>
            </w:r>
          </w:p>
          <w:p w14:paraId="4612369C" w14:textId="77777777" w:rsidR="006A3C30" w:rsidRPr="00706537" w:rsidRDefault="006A3C30" w:rsidP="008A38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706537">
              <w:rPr>
                <w:rFonts w:ascii="Arial" w:hAnsi="Arial" w:cs="Arial"/>
                <w:sz w:val="20"/>
                <w:szCs w:val="20"/>
                <w:lang w:eastAsia="x-none"/>
              </w:rPr>
              <w:t>Patient</w:t>
            </w:r>
          </w:p>
        </w:tc>
      </w:tr>
      <w:bookmarkEnd w:id="0"/>
    </w:tbl>
    <w:p w14:paraId="1785F179" w14:textId="77777777" w:rsidR="006A3C30" w:rsidRPr="00706537" w:rsidRDefault="006A3C30" w:rsidP="006A3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0"/>
          <w:szCs w:val="20"/>
          <w:lang w:val="x-none" w:eastAsia="x-none"/>
        </w:rPr>
      </w:pPr>
    </w:p>
    <w:p w14:paraId="2A8A1794" w14:textId="77777777" w:rsidR="00B75F32" w:rsidRPr="00706537" w:rsidRDefault="00B75F32" w:rsidP="006A3C30">
      <w:pPr>
        <w:rPr>
          <w:rFonts w:ascii="Arial" w:hAnsi="Arial" w:cs="Arial"/>
          <w:sz w:val="20"/>
          <w:szCs w:val="20"/>
        </w:rPr>
      </w:pPr>
    </w:p>
    <w:sectPr w:rsidR="00B75F32" w:rsidRPr="00706537" w:rsidSect="00A5042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80" w:right="1134" w:bottom="1417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3EE17" w14:textId="77777777" w:rsidR="006703DF" w:rsidRDefault="006703DF" w:rsidP="00E06929">
      <w:r>
        <w:separator/>
      </w:r>
    </w:p>
  </w:endnote>
  <w:endnote w:type="continuationSeparator" w:id="0">
    <w:p w14:paraId="1F7077FE" w14:textId="77777777" w:rsidR="006703DF" w:rsidRDefault="006703DF" w:rsidP="00E0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4A854" w14:textId="24C8B461" w:rsidR="00A50421" w:rsidRPr="00A50421" w:rsidRDefault="00A50421">
    <w:pPr>
      <w:pStyle w:val="Footer"/>
      <w:rPr>
        <w:sz w:val="20"/>
        <w:szCs w:val="20"/>
      </w:rPr>
    </w:pPr>
    <w:r w:rsidRPr="002410ED">
      <w:rPr>
        <w:rFonts w:cstheme="minorHAnsi"/>
        <w:sz w:val="20"/>
        <w:szCs w:val="20"/>
      </w:rPr>
      <w:t>©</w:t>
    </w:r>
    <w:r w:rsidRPr="002410ED">
      <w:rPr>
        <w:sz w:val="20"/>
        <w:szCs w:val="20"/>
      </w:rPr>
      <w:t xml:space="preserve"> GP Nurse Training (20</w:t>
    </w:r>
    <w:r>
      <w:rPr>
        <w:sz w:val="20"/>
        <w:szCs w:val="20"/>
      </w:rPr>
      <w:t>16</w:t>
    </w:r>
    <w:r w:rsidRPr="002410ED">
      <w:rPr>
        <w:sz w:val="20"/>
        <w:szCs w:val="20"/>
      </w:rPr>
      <w:t>). Version: 1.0 01.0</w:t>
    </w:r>
    <w:r w:rsidR="001A416B">
      <w:rPr>
        <w:sz w:val="20"/>
        <w:szCs w:val="20"/>
      </w:rPr>
      <w:t>6</w:t>
    </w:r>
    <w:r w:rsidRPr="002410ED">
      <w:rPr>
        <w:sz w:val="20"/>
        <w:szCs w:val="20"/>
      </w:rPr>
      <w:t>.202</w:t>
    </w:r>
    <w:r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BDDD" w14:textId="77777777" w:rsidR="006703DF" w:rsidRDefault="006703DF" w:rsidP="00E06929">
      <w:r>
        <w:separator/>
      </w:r>
    </w:p>
  </w:footnote>
  <w:footnote w:type="continuationSeparator" w:id="0">
    <w:p w14:paraId="065A8F53" w14:textId="77777777" w:rsidR="006703DF" w:rsidRDefault="006703DF" w:rsidP="00E0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04626" w14:textId="2D0B611F" w:rsidR="00A50421" w:rsidRDefault="00706537">
    <w:pPr>
      <w:pStyle w:val="Header"/>
    </w:pPr>
    <w:r>
      <w:rPr>
        <w:noProof/>
      </w:rPr>
      <w:pict w14:anchorId="2899A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5094" o:spid="_x0000_s2050" type="#_x0000_t75" style="position:absolute;margin-left:0;margin-top:0;width:481.65pt;height:718.75pt;z-index:-251657216;mso-position-horizontal:center;mso-position-horizontal-relative:margin;mso-position-vertical:center;mso-position-vertical-relative:margin" o:allowincell="f">
          <v:imagedata r:id="rId1" o:title="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6CCE2" w14:textId="297C4987" w:rsidR="00A50421" w:rsidRDefault="00706537">
    <w:pPr>
      <w:pStyle w:val="Header"/>
    </w:pPr>
    <w:r>
      <w:rPr>
        <w:noProof/>
      </w:rPr>
      <w:pict w14:anchorId="201D9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5095" o:spid="_x0000_s2051" type="#_x0000_t75" style="position:absolute;margin-left:0;margin-top:0;width:481.65pt;height:718.75pt;z-index:-251656192;mso-position-horizontal:center;mso-position-horizontal-relative:margin;mso-position-vertical:center;mso-position-vertical-relative:margin" o:allowincell="f">
          <v:imagedata r:id="rId1" o:title="blu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9C956" w14:textId="7E6E0C52" w:rsidR="00A50421" w:rsidRDefault="00706537">
    <w:pPr>
      <w:pStyle w:val="Header"/>
    </w:pPr>
    <w:r>
      <w:rPr>
        <w:noProof/>
      </w:rPr>
      <w:pict w14:anchorId="5EDBB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5093" o:spid="_x0000_s2049" type="#_x0000_t75" style="position:absolute;margin-left:0;margin-top:0;width:481.65pt;height:718.75pt;z-index:-251658240;mso-position-horizontal:center;mso-position-horizontal-relative:margin;mso-position-vertical:center;mso-position-vertical-relative:margin" o:allowincell="f">
          <v:imagedata r:id="rId1" o:title="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75444D0"/>
    <w:multiLevelType w:val="hybridMultilevel"/>
    <w:tmpl w:val="AFAE4C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C7ED2"/>
    <w:multiLevelType w:val="hybridMultilevel"/>
    <w:tmpl w:val="47BA3E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460229">
    <w:abstractNumId w:val="0"/>
  </w:num>
  <w:num w:numId="2" w16cid:durableId="1939210241">
    <w:abstractNumId w:val="1"/>
  </w:num>
  <w:num w:numId="3" w16cid:durableId="2013601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5E"/>
    <w:rsid w:val="000B73F9"/>
    <w:rsid w:val="00122B78"/>
    <w:rsid w:val="001266DC"/>
    <w:rsid w:val="001A416B"/>
    <w:rsid w:val="001F1D4C"/>
    <w:rsid w:val="00225DE8"/>
    <w:rsid w:val="00252E97"/>
    <w:rsid w:val="002C58A1"/>
    <w:rsid w:val="003111D1"/>
    <w:rsid w:val="003D5463"/>
    <w:rsid w:val="00463F31"/>
    <w:rsid w:val="004677DB"/>
    <w:rsid w:val="00474648"/>
    <w:rsid w:val="004852A8"/>
    <w:rsid w:val="00497627"/>
    <w:rsid w:val="004C6D6E"/>
    <w:rsid w:val="004E4742"/>
    <w:rsid w:val="00501083"/>
    <w:rsid w:val="00511719"/>
    <w:rsid w:val="005E765C"/>
    <w:rsid w:val="006703DF"/>
    <w:rsid w:val="006A3C30"/>
    <w:rsid w:val="006B4BAD"/>
    <w:rsid w:val="00706537"/>
    <w:rsid w:val="0078366B"/>
    <w:rsid w:val="007A5B9D"/>
    <w:rsid w:val="00816474"/>
    <w:rsid w:val="00897B4C"/>
    <w:rsid w:val="009563BA"/>
    <w:rsid w:val="00A31987"/>
    <w:rsid w:val="00A50421"/>
    <w:rsid w:val="00AD067F"/>
    <w:rsid w:val="00AE2B71"/>
    <w:rsid w:val="00B75F32"/>
    <w:rsid w:val="00C32F71"/>
    <w:rsid w:val="00C6285E"/>
    <w:rsid w:val="00CB5E5B"/>
    <w:rsid w:val="00D676CA"/>
    <w:rsid w:val="00E06929"/>
    <w:rsid w:val="00EC59CF"/>
    <w:rsid w:val="00F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F198322"/>
  <w15:docId w15:val="{47AD8F7F-D257-4EEF-A9D2-01E0130A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64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164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816474"/>
    <w:rPr>
      <w:rFonts w:ascii="Cambria" w:hAnsi="Cambria" w:cs="Cambria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816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64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1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74"/>
  </w:style>
  <w:style w:type="paragraph" w:styleId="Footer">
    <w:name w:val="footer"/>
    <w:basedOn w:val="Normal"/>
    <w:link w:val="FooterChar"/>
    <w:uiPriority w:val="99"/>
    <w:rsid w:val="0081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74"/>
  </w:style>
  <w:style w:type="paragraph" w:styleId="CommentText">
    <w:name w:val="annotation text"/>
    <w:basedOn w:val="Normal"/>
    <w:link w:val="CommentTextChar"/>
    <w:uiPriority w:val="99"/>
    <w:rsid w:val="00816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47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16474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rsid w:val="00816474"/>
    <w:rPr>
      <w:b/>
      <w:bCs/>
    </w:rPr>
  </w:style>
  <w:style w:type="character" w:styleId="Hyperlink">
    <w:name w:val="Hyperlink"/>
    <w:basedOn w:val="DefaultParagraphFont"/>
    <w:uiPriority w:val="99"/>
    <w:rsid w:val="00816474"/>
    <w:rPr>
      <w:color w:val="0000FF"/>
      <w:u w:val="single"/>
    </w:rPr>
  </w:style>
  <w:style w:type="paragraph" w:styleId="NoSpacing">
    <w:name w:val="No Spacing"/>
    <w:basedOn w:val="Normal0"/>
    <w:uiPriority w:val="99"/>
    <w:qFormat/>
    <w:rsid w:val="00816474"/>
    <w:pPr>
      <w:widowControl/>
    </w:pPr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basedOn w:val="DefaultParagraphFont"/>
    <w:uiPriority w:val="99"/>
    <w:rsid w:val="0081647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816474"/>
    <w:rPr>
      <w:sz w:val="16"/>
      <w:szCs w:val="16"/>
    </w:rPr>
  </w:style>
  <w:style w:type="paragraph" w:styleId="NormalWeb">
    <w:name w:val="Normal (Web)"/>
    <w:basedOn w:val="Normal"/>
    <w:uiPriority w:val="99"/>
    <w:rsid w:val="00B75F32"/>
    <w:pPr>
      <w:widowControl/>
      <w:spacing w:before="100" w:after="100"/>
    </w:pPr>
  </w:style>
  <w:style w:type="table" w:styleId="TableGrid">
    <w:name w:val="Table Grid"/>
    <w:basedOn w:val="TableNormal"/>
    <w:uiPriority w:val="59"/>
    <w:rsid w:val="004746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64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6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Base>C:\MDW2\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Myall</dc:creator>
  <cp:lastModifiedBy>Kristin Myall</cp:lastModifiedBy>
  <cp:revision>3</cp:revision>
  <dcterms:created xsi:type="dcterms:W3CDTF">2024-09-29T21:06:00Z</dcterms:created>
  <dcterms:modified xsi:type="dcterms:W3CDTF">2024-10-03T21:54:00Z</dcterms:modified>
</cp:coreProperties>
</file>